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15 Offshore-ArbZV — Weitere Arbeitsschutzmaßnahmen</w:t>
      </w:r>
    </w:p>
    <w:p>
      <w:r>
        <w:rPr>
          <w:color w:val="555555"/>
          <w:sz w:val="18"/>
        </w:rPr>
        <w:t xml:space="preserve">Offshore-Arbeitszeitverordnung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lässt sonstige Arbeitsschutzvorschriften unberührt. Bei der Gefährdungsbeurteilung nach § 114 des Seearbeitsgesetzes in Verbindung mit § 5 des Arbeitsschutzgesetzes hat der Reeder insbesondere die Belastungen durch eine Arbeitszeitverlängerung unter Einbeziehung der erschwerten Arbeitsbedingungen bei Offshore-Tätigkeiten zu berücksichtigen.</w:t>
      </w:r>
    </w:p>
    <w:p>
      <w:r>
        <w:rPr>
          <w:color w:val="555555"/>
          <w:sz w:val="17"/>
        </w:rPr>
        <w:t xml:space="preserve">Zitiervorschlag: § 15 Offshore-ArbZV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https://recht.nulegal.eu/gesetze/Offshore-ArbZV/15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15 Offshore-ArbZV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