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Offshore-ArbZV — Geltungsbereich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im Küstenmeer sowie in der ausschließlichen Wirtschaftszone der Bundesrepublik Deutschland sowie auf Schiffen, von denen aus Offshore-Tätigkeiten im Sinne des § 15 Absatz 2a des Arbeitszeitgesetzes oder des § 55 Satz 1 Nummer 3 des Seearbeitsgesetzes durchgeführt werden für</w:t>
      </w:r>
    </w:p>
    <w:p>
      <w:pPr>
        <w:ind w:left="420"/>
      </w:pPr>
      <w:r>
        <w:t xml:space="preserve">1. Arbeitnehmerinnen und Arbeitnehmer, die Offshore-Tätigkeiten im Sinne des § 15 Absatz 2a des Arbeitszeitgesetzes durchführen,</w:t>
      </w:r>
    </w:p>
    <w:p>
      <w:pPr>
        <w:ind w:left="420"/>
      </w:pPr>
      <w:r>
        <w:t xml:space="preserve">2. Besatzungsmitglieder im Sinne des § 3 Absatz 1 des Seearbeitsgesetzes.</w:t>
      </w:r>
    </w:p>
    <w:p>
      <w:r>
        <w:rPr>
          <w:color w:val="555555"/>
          <w:sz w:val="17"/>
        </w:rPr>
        <w:t xml:space="preserve">Zitiervorschlag: § 1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