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XIV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(1) Dieses Abkommen tritt in Kraft mit der Hinterlegung einer Ratifikationsurkunde bei der Regierung der Vereinigten Staaten durch die Bundesrepublik.</w:t>
      </w:r>
    </w:p>
    <w:p>
      <w:r>
        <w:t xml:space="preserve">(2) Der Anhang ist integrierender Bestandteil dieses Abkommens.</w:t>
      </w:r>
    </w:p>
    <w:p>
      <w:r>
        <w:rPr>
          <w:color w:val="555555"/>
          <w:sz w:val="17"/>
        </w:rPr>
        <w:t xml:space="preserve">Zitiervorschlag: Art XIV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https://recht.nulegal.eu/gesetze/OffshStAbk/xiv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