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VII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(1) Wenn Dollarausgaben in Betracht kommen, werden die Vereinigten Staaten Zahlung leisten in Form von auf Dollar lautenden Urkunden, die bei bestimmten Banken zu Gunsten der in Betracht kommenden Lieferer zahlbar sind.</w:t>
      </w:r>
    </w:p>
    <w:p>
      <w:r>
        <w:t xml:space="preserve">(2) Wenn Zahlungen aus den im Anhang unter Nummer 2 aufgeführten DM-Beträgen in Betracht kommen, wird die Zahlung gemäß näherer Vereinbarungen der beiden Regierungen geleistet werden.</w:t>
      </w:r>
    </w:p>
    <w:p>
      <w:r>
        <w:rPr>
          <w:color w:val="555555"/>
          <w:sz w:val="17"/>
        </w:rPr>
        <w:t xml:space="preserve">Zitiervorschlag: Art VII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https://recht.nulegal.eu/gesetze/OffshStAbk/vii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