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OfenbAusbV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§ 26 der Handwerksordnung in der Fassung der Bekanntmachung vom 14. September 1998 (BGBl. I S. 3074), die durch Artikel 2 Nr. 4 des Gesetzes vom 23. März 2005 (BGBl. I S. 931) neu gefasst worden sind, jeweils auch in Verbindung mit § 1 Abs. 2 des Zuständigkeitsanpassungsgesetzes vom 16. August 2002 (BGBl. I S. 3165) sowie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