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OfenbAusbV — Bestehende Berufsausbildungsverhältnisse</w:t>
      </w:r>
    </w:p>
    <w:p>
      <w:r>
        <w:rPr>
          <w:color w:val="555555"/>
          <w:sz w:val="18"/>
        </w:rPr>
        <w:t xml:space="preserve">Verordnung über die Berufsausbildung zum Ofen- und Luftheizungsbauer/zur Ofen- und Luftheizungsbauerin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Berufsausbildungsverhältnisse, die bei Inkrafttreten dieser Verordnung bestehen, können unter Anrechnung der bisher zurückgelegten Ausbildungszeit nach den Vorschriften dieser Verordnung fortgesetzt werden, wenn die Vertragsparteien dies vereinbaren.</w:t>
      </w:r>
    </w:p>
    <w:p>
      <w:r>
        <w:rPr>
          <w:color w:val="555555"/>
          <w:sz w:val="17"/>
        </w:rPr>
        <w:t xml:space="preserve">Zitiervorschlag: § 10 OfenbAusbV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https://recht.nulegal.eu/gesetze/OfenbAusbV/10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