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OfenLufthMstrV — Prüfungsdauer und Bestehen des Teils I</w:t>
      </w:r>
    </w:p>
    <w:p>
      <w:r>
        <w:rPr>
          <w:color w:val="555555"/>
          <w:sz w:val="18"/>
        </w:rPr>
        <w:t xml:space="preserve">Ofen- und Luftheizungsbauermeisterverordnung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des Meisterprüfungsprojekts soll nicht länger als vier Arbeitstage, das Fachgespräch nicht länger als 30 Minuten und die Ausführung der Situationsaufgabe nicht länger als acht Stunden dauern.</w:t>
      </w:r>
    </w:p>
    <w:p>
      <w:r>
        <w:t xml:space="preserve">(2) Meisterprüfungsprojekt, Fachgespräch und Situationsaufgabe werden gesondert bewertet. Die Prüfungsleistungen im Meisterprüfungsprojekt und im Fachgespräch werden im Verhältnis 3 : 1 gewichtet. Hieraus wird eine Gesamtbewertung gebildet. Diese Gesamtbewertung wird zum Prüfungsergebnis der Situationsaufgabe im Verhältnis 2 : 1 gewichtet.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7 OfenLufthMstrV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https://recht.nulegal.eu/gesetze/OfenLufthMstrV/7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