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OfenLufthMstrV — Gliederung des Teils I</w:t>
      </w:r>
    </w:p>
    <w:p>
      <w:r>
        <w:rPr>
          <w:color w:val="555555"/>
          <w:sz w:val="18"/>
        </w:rPr>
        <w:t xml:space="preserve">Ofen- und Luftheizungsbauermeisterverordnung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Teil I der Meisterprüfung umfasst folgende Prüfungsbereiche:</w:t>
      </w:r>
    </w:p>
    <w:p>
      <w:pPr>
        <w:ind w:left="420"/>
      </w:pPr>
      <w:r>
        <w:t xml:space="preserve">1. ein Meisterprüfungsprojekt und ein darauf bezogenes Fachgespräch,</w:t>
      </w:r>
    </w:p>
    <w:p>
      <w:pPr>
        <w:ind w:left="420"/>
      </w:pPr>
      <w:r>
        <w:t xml:space="preserve">2. eine Situationsaufgabe.</w:t>
      </w:r>
    </w:p>
    <w:p>
      <w:r>
        <w:rPr>
          <w:color w:val="555555"/>
          <w:sz w:val="17"/>
        </w:rPr>
        <w:t xml:space="preserve">Zitiervorschlag: § 3 OfenLufthMstrV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https://recht.nulegal.eu/gesetze/OfenLufthMstrV/3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