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OfenLufthMstrV — Inkrafttreten, Außerkrafttreten</w:t>
      </w:r>
    </w:p>
    <w:p>
      <w:r>
        <w:rPr>
          <w:color w:val="555555"/>
          <w:sz w:val="18"/>
        </w:rPr>
        <w:t xml:space="preserve">Ofen- und Luftheizungsbauermeisterverordnung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2009 in Kraft.</w:t>
      </w:r>
    </w:p>
    <w:p>
      <w:r>
        <w:rPr>
          <w:color w:val="555555"/>
          <w:sz w:val="17"/>
        </w:rPr>
        <w:t xml:space="preserve">Zitiervorschlag: § 11 OfenLufthMstrV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https://recht.nulegal.eu/gesetze/OfenLufthMstrV/11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