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OdSpreeG (Brandenburg)</w:t>
      </w:r>
    </w:p>
    <w:p>
      <w:r>
        <w:rPr>
          <w:color w:val="555555"/>
          <w:sz w:val="18"/>
        </w:rPr>
        <w:t xml:space="preserve">Oder-Spree-Gesetz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Oder-Spree sollen den Städten Eisenhüttenstadt und Fürstenwalde, die infolge der Kreisgebietsreform die Eigenschaft als Kreissitz verlieren, einen angemessenen Ausgleich verschaffen.</w:t>
      </w:r>
    </w:p>
    <w:p>
      <w:r>
        <w:t xml:space="preserve">(2) Die Städte Eisenhüttenstadt und Fürstenwalde erhalten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für die Städte Eisenhüttenstadt und Fürstenwalde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erhalten</w:t>
      </w:r>
    </w:p>
    <w:p>
      <w:r>
        <w:t xml:space="preserve">die Stadt Eisenhüttenstadt eine zusätzliche Investitionspauschale in Höhe von 1 425 420 DM jährlich und</w:t>
      </w:r>
    </w:p>
    <w:p>
      <w:r>
        <w:t xml:space="preserve">die Stadt Fürstenwalde eine zusätzliche Investitionspauschale in Höhe von 1 101 880 DM jährlich.</w:t>
      </w:r>
    </w:p>
    <w:p>
      <w:r>
        <w:rPr>
          <w:color w:val="555555"/>
          <w:sz w:val="17"/>
        </w:rPr>
        <w:t xml:space="preserve">Zitiervorschlag: § 3 OdSpreeG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https://recht.nulegal.eu/gesetze/OdSpreeG/3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