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OberflbeschAusbV</w:t>
      </w:r>
    </w:p>
    <w:p>
      <w:r>
        <w:rPr>
          <w:color w:val="555555"/>
          <w:sz w:val="18"/>
        </w:rPr>
        <w:t xml:space="preserve">Verordnung über die Berufsausbildung zum Oberflächenbeschichter/zur Oberflächenbeschichterin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Abs. 1 in Verbindung mit § 5 des Berufsbildungsgesetzes vom 23. März 2005 (BGBl. I S. 931) und des § 25 Abs. 1 in Verbindung mit § 26 der Handwerksordnung in der Fassung der Bekanntmachung vom 24. September 1998 (BGBl. I S. 3074), die durch Artikel 2 Nr. 4 des Gesetzes vom 23. März 2005 (BGBl. I S. 931) neu gefasst worden sind, verordnet das Bundesministerium für Wirtschaft und Arbeit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OberflbeschAusbV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https://recht.nulegal.eu/gesetze/OberflbeschAusbV/eingangsformel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