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OZSV — Übergangsregelungen</w:t>
      </w:r>
    </w:p>
    <w:p>
      <w:r>
        <w:rPr>
          <w:color w:val="555555"/>
          <w:sz w:val="18"/>
        </w:rPr>
        <w:t xml:space="preserve">Verordnung über Standards für den Onlinezugang zu Verwaltungsleistungen</w:t>
      </w:r>
    </w:p>
    <w:p>
      <w:r>
        <w:rPr>
          <w:color w:val="555555"/>
          <w:sz w:val="18"/>
        </w:rPr>
        <w:t xml:space="preserve">Stand: 01.10.2025 (konsolidierte Textfassung, kein amtliches Inkrafttretensdatum)</w:t>
      </w:r>
    </w:p>
    <w:p>
      <w:r>
        <w:t xml:space="preserve">Für informationstechnische Systeme im Anwendungsbereich dieser Verordnung, die am ersten Tag des auf die Verkündung folgenden Quartals in Betrieb sind oder bis zum 31. Dezember 2027 in Betrieb genommen werden, kann bis zum 31. März 2030 von den Vorgaben der §§ 1 und 2 abgewichen werden.</w:t>
      </w:r>
    </w:p>
    <w:p>
      <w:r>
        <w:rPr>
          <w:color w:val="555555"/>
          <w:sz w:val="17"/>
        </w:rPr>
        <w:t xml:space="preserve">Zitiervorschlag: § 3 OZSV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