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OZSV — Architekturvorgaben für informationstechnische Systeme</w:t>
      </w:r>
    </w:p>
    <w:p>
      <w:r>
        <w:rPr>
          <w:color w:val="555555"/>
          <w:sz w:val="18"/>
        </w:rPr>
        <w:t xml:space="preserve">Verordnung über Standards für den Onlinezugang zu Verwaltungsleistungen</w:t>
      </w:r>
    </w:p>
    <w:p>
      <w:r>
        <w:rPr>
          <w:color w:val="555555"/>
          <w:sz w:val="18"/>
        </w:rPr>
        <w:t xml:space="preserve">Stand: 01.10.2025 (konsolidierte Textfassung, kein amtliches Inkrafttretensdatum)</w:t>
      </w:r>
    </w:p>
    <w:p>
      <w:r>
        <w:t xml:space="preserve">(1) Informationstechnische Systeme, die für den übergreifenden informationstechnischen Zugang zu den Verwaltungsleistungen von Bund und Ländern genutzt werden, sind nach den Architekturvorgaben auszugestalten, die in der nach Absatz 2 jeweils bekanntgemachten Fassung der vom IT-Planungsrat beschlossenen Föderalen IT‑Architekturrichtlinie als Regeln der Nationalen Architekturrichtlinie und als Föderale Ergänzungen aufgelistet sind.</w:t>
      </w:r>
    </w:p>
    <w:p>
      <w:r>
        <w:t xml:space="preserve">(2) Die am 26. März 2025 vom IT-Planungsrat beschlossene Föderale IT‑Architekturrichtlinie wird vom Bundesministerium für Digitales und Staatsmodernisierung im Bundesanzeiger bekanntgemacht; Entsprechendes gilt für geänderte Fassungen. In der Bekanntmachung ist das Datum des jeweiligen Beschlusses des IT-Planungsrats anzugeben und im Einvernehmen mit dem IT-Planungsrat festzulegen, ab welchem Zeitpunkt die jeweilige Fassung der Föderalen IT-Architekturrichtlinie gilt.</w:t>
      </w:r>
    </w:p>
    <w:p>
      <w:r>
        <w:rPr>
          <w:color w:val="555555"/>
          <w:sz w:val="17"/>
        </w:rPr>
        <w:t xml:space="preserve">Zitiervorschlag: § 1 OZSV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https://recht.nulegal.eu/gesetze/OZSV/1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