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OZG — Nutzerfreundlichkeit und Barrierefreiheit</w:t>
      </w:r>
    </w:p>
    <w:p>
      <w:r>
        <w:rPr>
          <w:color w:val="555555"/>
          <w:sz w:val="18"/>
        </w:rPr>
        <w:t xml:space="preserve">Onlinezugangsgesetz</w:t>
      </w:r>
    </w:p>
    <w:p>
      <w:r>
        <w:rPr>
          <w:color w:val="555555"/>
          <w:sz w:val="18"/>
        </w:rPr>
        <w:t xml:space="preserve">Stand: 24.07.2024 (konsolidierte Textfassung, kein amtliches Inkrafttretensdatum)</w:t>
      </w:r>
    </w:p>
    <w:p>
      <w:r>
        <w:t xml:space="preserve">(1) Bund und Länder stellen durch geeignete Maßnahmen die Nutzerfreundlichkeit sowie eine einfache und intuitive Bedienbarkeit des übergreifenden Zugangs zu elektronischen Verwaltungsleistungen, einschließlich der für diesen Zugang relevanten IT-Komponenten, sicher. Nutzer sollen in die Entwicklung neuer elektronischer Angebote einbezogen werden.</w:t>
      </w:r>
    </w:p>
    <w:p>
      <w:r>
        <w:t xml:space="preserve">(2) Der übergreifende Zugang zu elektronischen Verwaltungsleistungen, einschließlich der für diesen Zugang relevanten IT-Komponenten, ist nach Maßgabe der Barrierefreie-Informationstechnik-Verordnung so zu gestalten, dass sie barrierefrei nutzbar sind.</w:t>
      </w:r>
    </w:p>
    <w:p>
      <w:r>
        <w:rPr>
          <w:color w:val="555555"/>
          <w:sz w:val="17"/>
        </w:rPr>
        <w:t xml:space="preserve">Zitiervorschlag: § 7 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https://recht.nulegal.eu/gesetze/OZG/7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