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OZG — Elektronische Abwicklung von Verwaltungsverfahren; Verordnungsermächtigung</w:t>
      </w:r>
    </w:p>
    <w:p>
      <w:r>
        <w:rPr>
          <w:color w:val="555555"/>
          <w:sz w:val="18"/>
        </w:rPr>
        <w:t xml:space="preserve">Onlinezugangsgesetz</w:t>
      </w:r>
    </w:p>
    <w:p>
      <w:r>
        <w:rPr>
          <w:color w:val="555555"/>
          <w:sz w:val="18"/>
        </w:rPr>
        <w:t xml:space="preserve">Stand: 24.07.2024 (konsolidierte Textfassung, kein amtliches Inkrafttretensdatum)</w:t>
      </w:r>
    </w:p>
    <w:p>
      <w:r>
        <w:t xml:space="preserve">(1) Für die elektronische Abwicklung von Verwaltungsverfahren, die der Durchführung unmittelbar geltender Rechtsakte der Europäischen Union, für die dem Bund die Gesetzgebungskompetenz zusteht, oder der Ausführung von Bundesgesetzen dienen, wird die Bundesregierung ermächtigt, im Benehmen mit dem IT-Planungsrat durch Rechtsverordnung ohne Zustimmung des Bundesrates die Verwendung bestimmter IT-Komponenten nach § 2 Absatz 6 verbindlich vorzugeben. In der Rechtsverordnung kann auch die Verwendung von IT-Komponenten geregelt werden, die das jeweils zuständige Bundesministerium bereitstellt. Die Länder können von den in der Rechtsverordnung getroffenen Regelungen durch Landesrecht abweichen, soweit sie für den Betrieb im Portalverbund geeignete IT-Komponenten bereitstellen.</w:t>
      </w:r>
    </w:p>
    <w:p>
      <w:r>
        <w:t xml:space="preserve">(2) Die Länder sind verpflichtet, die technischen und organisatorischen Voraussetzungen für den Einsatz der nach Absatz 1 vorgegebenen Verfahren sicherzustellen.</w:t>
      </w:r>
    </w:p>
    <w:p>
      <w:r>
        <w:t xml:space="preserve">(3) Bei der Bereitstellung der IT-Komponenten im Sinne des Absatzes 1 sollen offene Standards und offene Schnittstellen verwendet werden und soll Open-Source-Software vorrangig vor solcher Software eingesetzt werden, deren Quellcode nicht öffentlich zugänglich ist oder deren Lizenz die Verwendung, Weitergabe und Veränderung einschränkt.</w:t>
      </w:r>
    </w:p>
    <w:p>
      <w:r>
        <w:rPr>
          <w:color w:val="555555"/>
          <w:sz w:val="17"/>
        </w:rPr>
        <w:t xml:space="preserve">Zitiervorschlag: § 4 OZG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https://recht.nulegal.eu/gesetze/OZG/4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