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OZG — Nutzerkonten, Identifizierung und Authentifizierung; Verordnungsermächtigung</w:t>
      </w:r>
    </w:p>
    <w:p>
      <w:r>
        <w:rPr>
          <w:color w:val="555555"/>
          <w:sz w:val="18"/>
        </w:rPr>
        <w:t xml:space="preserve">Onlinezugangsgesetz</w:t>
      </w:r>
    </w:p>
    <w:p>
      <w:r>
        <w:rPr>
          <w:color w:val="555555"/>
          <w:sz w:val="18"/>
        </w:rPr>
        <w:t xml:space="preserve">Stand: 24.07.2024 (konsolidierte Textfassung, kein amtliches Inkrafttretensdatum)</w:t>
      </w:r>
    </w:p>
    <w:p>
      <w:r>
        <w:t xml:space="preserve">(1) Die Identifizierung und Authentifizierung der Nutzer im Sinne des § 2 Absatz 4 Nummer 1 für die Inanspruchnahme elektronischer Verwaltungsleistungen im Portalverbund erfolgt, soweit nicht durch Bundesgesetz etwas anderes bestimmt ist, über ein zentrales Bürgerkonto, das der Bund bereitstellt. Die Verwendung des Bürgerkontos ist für die Nutzer freiwillig. Das Bundesministerium des Innern und für Heimat wird ermächtigt, durch Rechtsverordnung, die nicht der Zustimmung des Bundesrates bedarf, zu bestimmen, welche öffentliche Stelle des Bundes das Bürgerkonto bereitstellt.</w:t>
      </w:r>
    </w:p>
    <w:p>
      <w:r>
        <w:t xml:space="preserve">(2) Das Bundesministerium des Innern und für Heimat wird ermächtigt, durch Rechtsverordnung mit Zustimmung des Bundesrates zu bestimmen, welche staatlichen Stellen ein einheitliches Organisationskonto im Portalverbund bereitstellen.</w:t>
      </w:r>
    </w:p>
    <w:p>
      <w:r>
        <w:t xml:space="preserve">(3) Für öffentliche Stellen, die Verwaltungsleistungen im Portalverbund anbieten, ist die Verwendung des Organisationskontos verpflichtend.</w:t>
      </w:r>
    </w:p>
    <w:p>
      <w:r>
        <w:t xml:space="preserve">(4) Der Nachweis der Identität des Nutzers erfolgt</w:t>
      </w:r>
    </w:p>
    <w:p>
      <w:pPr>
        <w:ind w:left="420"/>
      </w:pPr>
      <w:r>
        <w:t xml:space="preserve">1. im Bürgerkonto</w:t>
      </w:r>
    </w:p>
    <w:p>
      <w:pPr>
        <w:ind w:left="780"/>
      </w:pPr>
      <w:r>
        <w:t xml:space="preserve">a) für elektronische Verwaltungsleistungen, für die höchstens das Vertrauensniveau „substantiell“ erforderlich ist, durch ein sicheres Verfahren nach § 87a Absatz 6 der Abgabenordnung oder durch ein anderes elektronisches Identifizierungsmittel, welches nach Artikel 6 der Verordnung (EU) Nr. 910/2014 des Europäischen Parlaments und des Rates vom 23. Juli 2014 über elektronische Identifizierung und Vertrauensdienste für elektronische Transaktionen im Binnenmarkt und zur Aufhebung der Richtlinie 1999/93/EG (ABl. L 257 vom 28.8.2014, S. 73) mindestens mit dem Sicherheitsniveau „substantiell“ im Sinne des Artikels 8 Absatz 2 Buchstabe b der Verordnung (EU) Nr. 910/2014 anerkannt worden ist,</w:t>
      </w:r>
    </w:p>
    <w:p>
      <w:pPr>
        <w:ind w:left="780"/>
      </w:pPr>
      <w:r>
        <w:t xml:space="preserve">b) für elektronische Verwaltungsleistungen, für die das Vertrauensniveau „hoch“ erforderlich ist, durch einen elektronischen Identitätsnachweis nach § 18 des Personalausweisgesetzes, nach § 12 des eID-Karte-Gesetzes oder nach § 78 Absatz 5 des Aufenthaltsgesetzes oder durch ein anderes elektronisches Identifizierungsmittel, welches nach Artikel 6 der Verordnung (EU) Nr. 910/2014 mit dem Sicherheitsniveau „hoch“ im Sinne des Artikels 8 Absatz 2 Buchstabe c der Verordnung (EU) 910/2014 anerkannt worden ist, und</w:t>
      </w:r>
    </w:p>
    <w:p>
      <w:pPr>
        <w:ind w:left="420"/>
      </w:pPr>
      <w:r>
        <w:t xml:space="preserve">2. im einheitlichen Organisationskonto durch ein sicheres Verfahren nach § 87a Absatz 6 der Abgabenordnung oder durch ein anderes elektronisches Identifizierungsmittel, welches nach Artikel 6 der Verordnung (EU) Nr. 910/2014 mindestens mit dem Sicherheitsniveau „substantiell“ im Sinne des Artikels 8 Absatz 2 Buchstabe b der Verordnung (EU) Nr. 910/2014 anerkannt worden ist.</w:t>
      </w:r>
    </w:p>
    <w:p>
      <w:r>
        <w:t xml:space="preserve">(5) Über den Nachweis der Identität nach Absatz 4 hinausgehende Anforderungen an die Identifizierung einer Person, die zur Durchführung eines Verwaltungsverfahrens erforderlich sind, bleiben unberührt.</w:t>
      </w:r>
    </w:p>
    <w:p>
      <w:r>
        <w:rPr>
          <w:color w:val="555555"/>
          <w:sz w:val="17"/>
        </w:rPr>
        <w:t xml:space="preserve">Zitiervorschlag: § 3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