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OZG§3Abs2S2V</w:t>
      </w:r>
    </w:p>
    <w:p>
      <w:r>
        <w:rPr>
          <w:color w:val="555555"/>
          <w:sz w:val="18"/>
        </w:rPr>
        <w:t xml:space="preserve">Verordnung nach § 3 Absatz 2 des Onlinezugangsgesetzes</w:t>
      </w:r>
    </w:p>
    <w:p>
      <w:r>
        <w:rPr>
          <w:color w:val="555555"/>
          <w:sz w:val="18"/>
        </w:rPr>
        <w:t xml:space="preserve">Stand: 29.09.2021 (konsolidierte Textfassung, kein amtliches Inkrafttretensdatum)</w:t>
      </w:r>
    </w:p>
    <w:p>
      <w:r>
        <w:t xml:space="preserve">Auf Grund des § 3 Absatz 2 Satz 2 des Onlinezugangsgesetzes, der durch Artikel 1 Nummer 2 des Gesetzes vom 3. Dezember 2020 (BGBl. I S. 2668) eingefügt worden ist, verordnet das Bundesministerium des Innern, für Bau und Heimat:</w:t>
      </w:r>
    </w:p>
    <w:p>
      <w:r>
        <w:rPr>
          <w:color w:val="555555"/>
          <w:sz w:val="17"/>
        </w:rPr>
        <w:t xml:space="preserve">Zitiervorschlag: Eingangsformel OZG§3Abs2S2V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https://recht.nulegal.eu/gesetze/OZG%C2%A73Abs2S2V/eingangsformel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