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OWiZustV (Brandenburg)</w:t>
      </w:r>
    </w:p>
    <w:p>
      <w:r>
        <w:rPr>
          <w:color w:val="555555"/>
          <w:sz w:val="18"/>
        </w:rPr>
        <w:t xml:space="preserve">Ordnungswidrigkeitenzuständigkeitsverordnung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Den örtlichen Staatsanwaltschaften wird die Zuständigkeit</w:t>
      </w:r>
    </w:p>
    <w:p>
      <w:r>
        <w:t xml:space="preserve">für die Verfolgung und Ahndung von Ordnungswidrigkeiten nach §</w:t>
      </w:r>
    </w:p>
    <w:p>
      <w:r>
        <w:t xml:space="preserve">115 des Gesetzes über Ordnungswidrigkeiten übertragen, soweit</w:t>
      </w:r>
    </w:p>
    <w:p>
      <w:r>
        <w:t xml:space="preserve">es sich um Gefangene im Gewahrsam einer Justizvollzugsanstalt oder um Jugendarrestanten</w:t>
      </w:r>
    </w:p>
    <w:p>
      <w:r>
        <w:t xml:space="preserve">handelt.</w:t>
      </w:r>
    </w:p>
    <w:p>
      <w:r>
        <w:rPr>
          <w:color w:val="555555"/>
          <w:sz w:val="17"/>
        </w:rPr>
        <w:t xml:space="preserve">Zitiervorschlag: § 3 OWiZustV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