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OWiZustV (Brandenburg)</w:t>
      </w:r>
    </w:p>
    <w:p>
      <w:r>
        <w:rPr>
          <w:color w:val="555555"/>
          <w:sz w:val="18"/>
        </w:rPr>
        <w:t xml:space="preserve">Ordnungswidrigkeitenzuständigkeitsverordnung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örtlichen</w:t>
      </w:r>
    </w:p>
    <w:p>
      <w:r>
        <w:t xml:space="preserve">Ordnungsbehörden wird die Zuständigkeit für die Verfolgung und Ahndung von</w:t>
      </w:r>
    </w:p>
    <w:p>
      <w:r>
        <w:t xml:space="preserve">Ordnungswidrigkeiten nach den §§ 111, 117 bis 121, 125 und 126 des Gesetzes über</w:t>
      </w:r>
    </w:p>
    <w:p>
      <w:r>
        <w:t xml:space="preserve">Ordnungswidrigkeiten, nach § 25 des Passgesetzes vom 19. April 1986 (BGBl. I</w:t>
      </w:r>
    </w:p>
    <w:p>
      <w:r>
        <w:t xml:space="preserve">S. 537), das zuletzt durch Artikel 4 Absatz 2 des Gesetzes vom 30. Juli 2009</w:t>
      </w:r>
    </w:p>
    <w:p>
      <w:r>
        <w:t xml:space="preserve">(BGBl. I S. 2437) geändert worden ist, soweit nicht die ausschließliche</w:t>
      </w:r>
    </w:p>
    <w:p>
      <w:r>
        <w:t xml:space="preserve">Zuständigkeit einer Bundesbehörde nach § 26 des Passgesetzes gegeben ist, und</w:t>
      </w:r>
    </w:p>
    <w:p>
      <w:r>
        <w:t xml:space="preserve">nach § 32 des Personalausweisgesetzes vom 18. Juni 2009 (BGBl. I S. 1346),</w:t>
      </w:r>
    </w:p>
    <w:p>
      <w:r>
        <w:t xml:space="preserve">soweit nicht die ausschließliche Zuständigkeit einer Bundesbehörde gegeben ist,</w:t>
      </w:r>
    </w:p>
    <w:p>
      <w:r>
        <w:t xml:space="preserve">übertragen.</w:t>
      </w:r>
    </w:p>
    <w:p>
      <w:r>
        <w:t xml:space="preserve">(2) Neben den örtlichen Ordnungsbehörden sind</w:t>
      </w:r>
    </w:p>
    <w:p>
      <w:r>
        <w:t xml:space="preserve">die Polizeipräsidien für die Feststellung von Ordnungswidrigkeiten nach den §§ 111, 117 bis 119 des</w:t>
      </w:r>
    </w:p>
    <w:p>
      <w:r>
        <w:t xml:space="preserve">Gesetzes über Ordnungswidrigkeiten, alle Ermittlungshandlungen, die im</w:t>
      </w:r>
    </w:p>
    <w:p>
      <w:r>
        <w:t xml:space="preserve">unmittelbaren Zusammenhang mit der Feststellung vor Ort durchzuführen sind,</w:t>
      </w:r>
    </w:p>
    <w:p>
      <w:r>
        <w:t xml:space="preserve">sowie für die Erteilung von Verwarnungen,</w:t>
      </w:r>
    </w:p>
    <w:p>
      <w:r>
        <w:t xml:space="preserve">die Polizeipräsidien für die Verfolgung von Ordnungswidrigkeiten nach den §§ 120 und 121 des Gesetzes</w:t>
      </w:r>
    </w:p>
    <w:p>
      <w:r>
        <w:t xml:space="preserve">über Ordnungswidrigkeiten sowie für die Erteilung von Verwarnungen und</w:t>
      </w:r>
    </w:p>
    <w:p>
      <w:r>
        <w:t xml:space="preserve">der Zentraldienst der Polizei mit seiner Zentralen Bußgeldstelle der Polizei für die Verfolgung und Ahndung</w:t>
      </w:r>
    </w:p>
    <w:p>
      <w:r>
        <w:t xml:space="preserve">von Ordnungswidrigkeiten nach den §§ 111, 117 bis 119 des Gesetzes</w:t>
      </w:r>
    </w:p>
    <w:p>
      <w:r>
        <w:t xml:space="preserve">über Ordnungswidrigkeiten zuständig, soweit sich aus Nummer 1 nichts</w:t>
      </w:r>
    </w:p>
    <w:p>
      <w:r>
        <w:t xml:space="preserve">Anderes ergibt,</w:t>
      </w:r>
    </w:p>
    <w:p>
      <w:r>
        <w:t xml:space="preserve">zuständig.</w:t>
      </w:r>
    </w:p>
    <w:p>
      <w:r>
        <w:rPr>
          <w:color w:val="555555"/>
          <w:sz w:val="17"/>
        </w:rPr>
        <w:t xml:space="preserve">Zitiervorschlag: § 1 OWiZustV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