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OWiZuVO (Sachsen)</w:t>
      </w:r>
    </w:p>
    <w:p>
      <w:r>
        <w:rPr>
          <w:color w:val="555555"/>
          <w:sz w:val="18"/>
        </w:rPr>
        <w:t xml:space="preserve">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1. § 36 Abs. 2 des Gesetzes über Ordnungswidrigkeiten ( OWiG ) in der Fassung der Bekanntmachung vom 19. Februar 1987 (BGBl. I S. 602), das zuletzt durch Artikel 18 des Gesetzes vom 10. Oktober 2013 (BGBl. I S. 3786, 3796) geändert worden ist, in der jeweils geltenden Fassung,</w:t>
      </w:r>
    </w:p>
    <w:p>
      <w:r>
        <w:t xml:space="preserve">2. § 127 Abs. 1 der Gemeindeordnung für den Freistaat Sachsen ( SächsGemO ) in der Fassung der Bekanntmachung vom 3. März 2014 (SächsGVBl. S. 146), die durch Artikel 6 des Gesetzes vom 2. April 2014 (SächsGVBl. S. 234, 237) geändert worden ist,</w:t>
      </w:r>
    </w:p>
    <w:p>
      <w:r>
        <w:t xml:space="preserve">3. § 26 Abs. 1 des Straßenverkehrsgesetzes ( StVG ) in der Fassung der Bekanntmachung vom 5. März 2003 (BGBl. I S. 310, 919), das zuletzt durch Artikel 1 des Gesetzes vom 28. August 2013 (BGBl. I S. 3313) geändert worden ist, in der jeweils geltenden Fassung,</w:t>
      </w:r>
    </w:p>
    <w:p>
      <w:r>
        <w:t xml:space="preserve">4. § 19 Abs. 5 Satz 1 des Gesetzes über das Meß- und Eichwesen ( Eichgesetz ) in der Fassung der Bekanntmachung vom 23. März 1992 (BGBl. I S. 711), das zuletzt durch Artikel 1 des Gesetzes vom 7. März 2011 (BGBl. I S. 338) geändert worden ist,</w:t>
      </w:r>
    </w:p>
    <w:p>
      <w:r>
        <w:t xml:space="preserve">5. § 61 Abs. 3 Satz 1 des Personenbeförderungsgesetzes ( PBefG ) in der Fassung der Bekanntmachung vom 8. August 1990 (BGBl. I S. 1690), das zuletzt durch Artikel 2 Abs. 147 des Gesetzes vom 7. August 2013 (BGBl. I S. 3154, 3159) geändert worden ist, in der jeweils geltenden Fassung,</w:t>
      </w:r>
    </w:p>
    <w:p>
      <w:r>
        <w:t xml:space="preserve">6. § 8 Abs. 3 des Gesetzes über die Grundqualifikation und Weiterbildung der Fahrer bestimmter Kraftfahrzeuge für den Güterkraft- oder Personenverkehr ( Berufskraftfahrer-Qualifikations-Gesetz – BKrFQG ) vom 14. August 2006 (BGBl. I S. 1958), das zuletzt durch Artikel 6 des Gesetzes vom 17. Juni 2013 (BGBl. I S. 1558, 1560) geändert worden ist, und</w:t>
      </w:r>
    </w:p>
    <w:p>
      <w:r>
        <w:t xml:space="preserve">7. § 21 Abs. 1 Satz 1 des Güterkraftverkehrsgesetzes ( GüKG ) vom 22. Juni 1998 (BGBl. I S. 1485), das zuletzt durch Artikel 8a des Gesetzes vom 28. August 2013 (BGBl. I S. 3313, 3325) geändert worden ist:</w:t>
      </w:r>
    </w:p>
    <w:p>
      <w:r>
        <w:rPr>
          <w:color w:val="555555"/>
          <w:sz w:val="17"/>
        </w:rPr>
        <w:t xml:space="preserve">Zitiervorschlag: Eingangsformel 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