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OWiZuVO (Sachsen) — Zuständigkeit des Landesamtes für Straßenbau und Verkehr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Straßenbau und Verkehr ist zuständig für die Verfolgung und Ahndung von Ordnungswidrigkeiten nach</w:t>
      </w:r>
    </w:p>
    <w:p>
      <w:r>
        <w:t xml:space="preserve">1. dem Gesetz über das Fahrlehrerwesen ( Fahrlehrergesetz – FahrlG ) vom 25. August 1969 (BGBl. I S. 1336), zuletzt geändert durch Artikel 2 des Gesetzes vom 28. August 2013 (BGBl. I S. 3313, 3321), in der jeweils geltenden Fassung, und den aufgrund dieses Gesetzes erlassenen Rechtsverordnungen,</w:t>
      </w:r>
    </w:p>
    <w:p>
      <w:r>
        <w:t xml:space="preserve">2. dem Bundesfernstraßengesetz ( FStrG ) in der Fassung der Bekanntmachung vom 28. Juni 2007 (BGBl. I S. 1206), zuletzt geändert durch Artikel 7 des Gesetzes vom 31. Mai 2013 (BGBl. I S. 1388, 1391), in der jeweils geltenden Fassung,</w:t>
      </w:r>
    </w:p>
    <w:p>
      <w:r>
        <w:t xml:space="preserve">3. dem Berufskraftfahrer-Qualifikations-Gesetz und</w:t>
      </w:r>
    </w:p>
    <w:p>
      <w:r>
        <w:t xml:space="preserve">4. § 17 der Autonome-Fahrzeuge-Genehmigungs-und-Betriebs-Verordnung vom 24. Juni 2022 (BGBl. I S. 986), die durch Artikel 10 der Verordnung vom 20. Juli 2023 (BGBl. 2023 I Nr. 199) geändert worden ist, in der jeweils geltenden Fassung.</w:t>
      </w:r>
    </w:p>
    <w:p>
      <w:r>
        <w:rPr>
          <w:color w:val="555555"/>
          <w:sz w:val="17"/>
        </w:rPr>
        <w:t xml:space="preserve">Zitiervorschlag: § 8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