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OWiZuVO (Sachsen) — Zuständigkeiten des Sächsischen Oberbergamtes</w:t>
      </w:r>
    </w:p>
    <w:p>
      <w:r>
        <w:rPr>
          <w:color w:val="555555"/>
          <w:sz w:val="18"/>
        </w:rPr>
        <w:t xml:space="preserve">Ordnungswidrigkeiten-Zuständigkeitsverordnung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Sächsische Oberbergamt ist zuständig für die Verfolgung und Ahndung von Ordnungswidrigkeiten nach dem Bundesberggesetz ( BBergG ) vom 13. August 1980 (BGBl. I S. 1310), zuletzt geändert durch Artikel 4 Abs. 71 des Gesetzes vom 7. August 2013 (BGBl. I S. 3154, 3205), in der jeweils geltenden Fassung, und den aufgrund dieses Gesetzes erlassenen Rechtsverordnungen.</w:t>
      </w:r>
    </w:p>
    <w:p>
      <w:r>
        <w:t xml:space="preserve">(2) Das Sächsische Oberbergamt ist, soweit es sich um Betriebe oder Anlagen handelt, die der Bergaufsicht unterstehen, zuständig für die Verfolgung und Ahndung von Ordnungswidrigkeiten nach</w:t>
      </w:r>
    </w:p>
    <w:p>
      <w:r>
        <w:t xml:space="preserve">1. dem Bundes-Immissionsschutzgesetz und den aufgrund dieses Gesetzes erlassenen Rechtsverordnungen, soweit es für den Vollzug der verletzten Vorschrift zuständig ist,</w:t>
      </w:r>
    </w:p>
    <w:p>
      <w:r>
        <w:t xml:space="preserve">2. dem Treibhausgas-Emissionshandelsgesetz , soweit es für den Vollzug der verletzten Vorschrift zuständig ist,</w:t>
      </w:r>
    </w:p>
    <w:p>
      <w:r>
        <w:t xml:space="preserve">3. dem Chemikaliengesetz und den aufgrund dieses Gesetzes erlassenen Rechtsverordnungen, soweit es für den Vollzug der verletzten Vorschrift zuständig ist,</w:t>
      </w:r>
    </w:p>
    <w:p>
      <w:r>
        <w:t xml:space="preserve">4. § 130 OWiG ,</w:t>
      </w:r>
    </w:p>
    <w:p>
      <w:r>
        <w:t xml:space="preserve">5. dem Sprengstoffgesetz , soweit es für den Vollzug der verletzten Vorschrift zuständig ist,</w:t>
      </w:r>
    </w:p>
    <w:p>
      <w:r>
        <w:t xml:space="preserve">6. dem Betriebsverfassungsgesetz in der Fassung der Bekanntmachung vom 25. September 2001 (BGBl. I S. 2518), zuletzt geändert durch Artikel 3 Abs. 4 des Gesetzes vom 20. April 2013 (BGBl. I S. 868, 914), in der jeweils geltenden Fassung,</w:t>
      </w:r>
    </w:p>
    <w:p>
      <w:r>
        <w:t xml:space="preserve">7. dem Gesetz über Betriebsärzte, Sicherheitsingenieure und andere Fachkräfte für Arbeitssicherheit ,</w:t>
      </w:r>
    </w:p>
    <w:p>
      <w:r>
        <w:t xml:space="preserve">8. dem Arbeitszeitgesetz ,</w:t>
      </w:r>
    </w:p>
    <w:p>
      <w:r>
        <w:t xml:space="preserve">9. dem Jugendarbeitsschutzgesetz ,</w:t>
      </w:r>
    </w:p>
    <w:p>
      <w:r>
        <w:t xml:space="preserve">10. dem Mutterschutzgesetz ,</w:t>
      </w:r>
    </w:p>
    <w:p>
      <w:r>
        <w:t xml:space="preserve">11. § 147 Gewerbeordnung , soweit es für den Vollzug der verletzten Vorschrift zuständig ist,</w:t>
      </w:r>
    </w:p>
    <w:p>
      <w:r>
        <w:t xml:space="preserve">12. dem Arbeitsschutzgesetz ,</w:t>
      </w:r>
    </w:p>
    <w:p>
      <w:r>
        <w:t xml:space="preserve">13. dem Gefahrgutbeförderungsgesetz und den aufgrund dieses Gesetzes erlassenen Rechtsverordnungen,</w:t>
      </w:r>
    </w:p>
    <w:p>
      <w:r>
        <w:t xml:space="preserve">14. der Verordnung zur arbeitsmedizinischen Vorsorge und</w:t>
      </w:r>
    </w:p>
    <w:p>
      <w:r>
        <w:t xml:space="preserve">15. dem Gesetz über überwachungsbedürftige Anlagen vom 27. Juli 2021 (BGBl. I S. 3146, 3162), in der jeweils geltenden Fassung, und den aufgrund dieses Gesetzes erlassenen Rechtsverordnungen.</w:t>
      </w:r>
    </w:p>
    <w:p>
      <w:r>
        <w:t xml:space="preserve">(3) Das Sächsische Oberbergamt ist bei unterirdischen Hohlräumen, die nicht der Bergaufsicht unterliegen, zuständig für die Verfolgung und Ahndung von Ordnungswidrigkeiten nach den in Absatz 2 Nr. 4, 5 und 8 bis 15 genannten Gesetzen, soweit es für den Vollzug der verletzten Vorschriften zuständig ist.</w:t>
      </w:r>
    </w:p>
    <w:p>
      <w:r>
        <w:rPr>
          <w:color w:val="555555"/>
          <w:sz w:val="17"/>
        </w:rPr>
        <w:t xml:space="preserve">Zitiervorschlag: § 7 OWiZuVO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https://recht.nulegal.eu/gesetze/OWiZuVO/7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