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OWiZuVO (Sachsen) — Zuständigkeiten des Staatsbetriebes Sachsenforst</w:t>
      </w:r>
    </w:p>
    <w:p>
      <w:r>
        <w:rPr>
          <w:color w:val="555555"/>
          <w:sz w:val="18"/>
        </w:rPr>
        <w:t xml:space="preserve">Ordnungswidrigkeiten-Zuständigkeitsverordnung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Staatsbetrieb Sachsenforst ist zuständig für die Verfolgung und Ahndung von Ordnungswidrigkeiten nach</w:t>
      </w:r>
    </w:p>
    <w:p>
      <w:r>
        <w:t xml:space="preserve">1. § 23 Abs. 2 Nr. 10 Buchst. b und Nr. 11 des Forstvermehrungsgutgesetzes ( FoVG ) vom 22. Mai 2002 (BGBl. I S. 1658), das zuletzt durch Artikel 37 des Gesetzes vom 9. Dezember 2010 (BGBl. I S. 1934, 1944) geändert worden ist, in der jeweils geltenden Fassung, in dem Umfang der übertragenen Aufgaben nach § 37 Abs. 4 Satz 3 des Waldgesetzes für den Freistaat Sachsen ( SächsWaldG ) vom 10. April 1992 (SächsGVBl. S. 137), das zuletzt durch Artikel 2 des Gesetzes vom 8. Juni 2012 (SächsGVBl. S. 308, 318) geändert worden ist, in der jeweils geltenden Fassung,</w:t>
      </w:r>
    </w:p>
    <w:p>
      <w:r>
        <w:t xml:space="preserve">2. dem Gesetz zum Ausgleich von Auswirkungen besonderer Schadensereignisse in der Forstwirtschaft ( Forstschäden-Ausgleichsgesetz ) in der Fassung der Bekanntmachung vom 26. August 1985 (BGBl. I S. 1756), zuletzt geändert durch Artikel 10 des Gesetzes vom 1. November 2011 (BGBl. I S. 2131, 2142), in der jeweils geltenden Fassung, und</w:t>
      </w:r>
    </w:p>
    <w:p>
      <w:r>
        <w:t xml:space="preserve">3. dem Berufsbildungsgesetz für die Berufsbildung der Forstwirte.</w:t>
      </w:r>
    </w:p>
    <w:p>
      <w:r>
        <w:rPr>
          <w:color w:val="555555"/>
          <w:sz w:val="17"/>
        </w:rPr>
        <w:t xml:space="preserve">Zitiervorschlag: § 5 OWiZuVO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https://recht.nulegal.eu/gesetze/OWiZuVO/5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