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OWiZuVO (Sachsen) — Inkrafttreten und Außerkrafttreten</w:t>
      </w:r>
    </w:p>
    <w:p>
      <w:r>
        <w:rPr>
          <w:color w:val="555555"/>
          <w:sz w:val="18"/>
        </w:rPr>
        <w:t xml:space="preserve">Ordnungswidrigkeiten-Zuständigkeitsverordnung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ihrer Verkündung in Kraft. Gleichzeitig tritt die Verordnung der Sächsischen Staatsregierung über Zuständigkeiten nach dem Gesetz über Ordnungswidrigkeiten (Ordnungswidrigkeiten-Zuständigkeitsverordnung – OWiZuVO) vom 16. Juli 2008 (SächsGVBl. S. 481), zuletzt geändert durch Artikel 4 des Gesetzes vom 2. April 2014 (SächsGVBl. S. 260, 261), außer Kraft.</w:t>
      </w:r>
    </w:p>
    <w:p>
      <w:r>
        <w:t xml:space="preserve">Dresden, den 16. Juni 2014</w:t>
      </w:r>
    </w:p>
    <w:p>
      <w:r>
        <w:t xml:space="preserve">Der Ministerpräsident</w:t>
      </w:r>
    </w:p>
    <w:p>
      <w:r>
        <w:t xml:space="preserve">Stanislaw Tillich</w:t>
      </w:r>
    </w:p>
    <w:p>
      <w:r>
        <w:t xml:space="preserve">Der Staatsminister des Innern</w:t>
      </w:r>
    </w:p>
    <w:p>
      <w:r>
        <w:t xml:space="preserve">Markus Ulbig</w:t>
      </w:r>
    </w:p>
    <w:p>
      <w:r>
        <w:rPr>
          <w:color w:val="555555"/>
          <w:sz w:val="17"/>
        </w:rPr>
        <w:t xml:space="preserve">Zitiervorschlag: § 17 OWiZuVO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https://recht.nulegal.eu/gesetze/OWiZuVO/17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