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OWiZuVO (Sachsen) — Ermächtigung der Staatsministerien</w:t>
      </w:r>
    </w:p>
    <w:p>
      <w:r>
        <w:rPr>
          <w:color w:val="555555"/>
          <w:sz w:val="18"/>
        </w:rPr>
        <w:t xml:space="preserve">Ordnungswidrigkeiten-Zuständigkeitsverordnung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Soweit eine Zuständigkeit in den §§ 3 bis 15 dieser Verordnung nicht bestimmt ist, wird die Ermächtigung zum Erlass von Rechtsverordnungen</w:t>
      </w:r>
    </w:p>
    <w:p>
      <w:r>
        <w:t xml:space="preserve">1. nach § 36 Abs. 2 Satz 1 OWiG auf die fachlich zuständigen Staatsministerien,</w:t>
      </w:r>
    </w:p>
    <w:p>
      <w:r>
        <w:t xml:space="preserve">2. nach § 26 Abs. 1 Satz 1 StVG auf das Staatsministerium für Wirtschaft, Arbeit und Verkehr übertragen.</w:t>
      </w:r>
    </w:p>
    <w:p>
      <w:r>
        <w:rPr>
          <w:color w:val="555555"/>
          <w:sz w:val="17"/>
        </w:rPr>
        <w:t xml:space="preserve">Zitiervorschlag: § 16 OWiZuVO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https://recht.nulegal.eu/gesetze/OWiZuVO/16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