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OWiZuVO (Sachsen) — Zuständigkeit der oder des Sächsischen Datenschutzbeauftragten</w:t>
      </w:r>
    </w:p>
    <w:p>
      <w:r>
        <w:rPr>
          <w:color w:val="555555"/>
          <w:sz w:val="18"/>
        </w:rPr>
        <w:t xml:space="preserve">Ordnungswidrigkeiten-Zuständigkeitsverordnung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Sächsische Datenschutzbeauftragte ist zuständig für die Verfolgung und Ahndung von Ordnungswidrigkeiten nach</w:t>
      </w:r>
    </w:p>
    <w:p>
      <w:r>
        <w:t xml:space="preserve">1. § 43 des Bundesdatenschutzgesetzes vom 30. Juni 2017 (BGBl. I S. 2097), das zuletzt durch Artikel 10 des Gesetzes vom 23. Juni 2021 (BGBl. I S. 1858; 2022 I S. 1045) geändert worden ist, in der jeweils geltenden Fassung,</w:t>
      </w:r>
    </w:p>
    <w:p>
      <w:r>
        <w:t xml:space="preserve">2. § 130 des Gesetzes über Ordnungswidrigkeiten , wenn die mit Strafe oder Geldbuße bedrohten Zuwiderhandlungen gegen Vorschriften des Datenschutzes im Anwendungsbereich von § 40 Absatz 1 des Bundesdatenschutzgesetzes begangen wurden und</w:t>
      </w:r>
    </w:p>
    <w:p>
      <w:r>
        <w:t xml:space="preserve">3. § 28 Absatz 1 Nummer 10 bis 12 des Telekommunikation-Telemedien-Datenschutz-Gesetzes vom 23. Juni 2021 (BGBl. I S. 1982; 2022 I S. 1045), das durch Artikel 4 des Gesetzes vom 12. August 2021 (BGBl. I S. 3544) geändert worden ist, in der jeweils geltenden Fassung und § 28 Absatz 1 Nummer 13 des Telekommunikation-Telemedien-Datenschutz-Gesetzes , soweit nicht die oder der Bundesbeauftragte für den Datenschutz und die Informationsfreiheit zuständig ist.</w:t>
      </w:r>
    </w:p>
    <w:p>
      <w:r>
        <w:rPr>
          <w:color w:val="555555"/>
          <w:sz w:val="17"/>
        </w:rPr>
        <w:t xml:space="preserve">Zitiervorschlag: § 15 OWiZuVO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https://recht.nulegal.eu/gesetze/OWiZuVO/15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