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OWiZuVO (Sachsen) — Zuständigkeiten einzelner Berufskammern</w:t>
      </w:r>
    </w:p>
    <w:p>
      <w:r>
        <w:rPr>
          <w:color w:val="555555"/>
          <w:sz w:val="18"/>
        </w:rPr>
        <w:t xml:space="preserve">Ordnungswidrigkeiten-Zuständigkeitsverordnung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Verfolgung und Ahndung von Ordnungswidrigkeiten im Zusammenhang mit der Berufsbildung nach dem Berufsbildungsgesetz und dem Gesetz zur Ordnung des Handwerks ( Handwerksordnung – HwO ) in der Fassung der Bekanntmachung vom 24. September 1998 (BGBl. I S. 3074, 2006 I S. 2095), zuletzt geändert durch Artikel 19 des Gesetzes vom 25. Juli 2013 (BGBl. I S. 2749, 2758), in der jeweils geltenden Fassung, sind zuständig</w:t>
      </w:r>
    </w:p>
    <w:p>
      <w:r>
        <w:t xml:space="preserve">1. die Handwerkskammer, in deren Kammerbezirk die Ausbildungsstätte ihren Sitz hat,</w:t>
      </w:r>
    </w:p>
    <w:p>
      <w:r>
        <w:t xml:space="preserve">a)</w:t>
      </w:r>
    </w:p>
    <w:p>
      <w:r>
        <w:t xml:space="preserve">in Berufen der Handwerksordnung und</w:t>
      </w:r>
    </w:p>
    <w:p>
      <w:r>
        <w:t xml:space="preserve">b)</w:t>
      </w:r>
    </w:p>
    <w:p>
      <w:r>
        <w:t xml:space="preserve">abweichend von den Nummern 2 bis 9, soweit die Berufsausbildungsvorbereitung, die Berufsausbildung und die berufliche Umschulung in Betrieben zulassungspflichtiger Handwerke, zulassungsfreier Handwerke und handwerksähnlicher Gewerbe durchgeführt wird,</w:t>
      </w:r>
    </w:p>
    <w:p>
      <w:r>
        <w:t xml:space="preserve">2. die Industrie- und Handelskammer, in deren Kammerbezirk die Ausbildungsstätte ihren Sitz hat, für nichthandwerkliche Gewerbeberufe,</w:t>
      </w:r>
    </w:p>
    <w:p>
      <w:r>
        <w:t xml:space="preserve">3. die Rechtsanwaltskammer Sachsen für Rechtsanwaltsfachangestellte,</w:t>
      </w:r>
    </w:p>
    <w:p>
      <w:r>
        <w:t xml:space="preserve">4. die Ländernotarkasse für Notarfachangestellte,</w:t>
      </w:r>
    </w:p>
    <w:p>
      <w:r>
        <w:t xml:space="preserve">5. die Steuerberaterkammer des Freistaates Sachsen für Steuerfachangestellte,</w:t>
      </w:r>
    </w:p>
    <w:p>
      <w:r>
        <w:t xml:space="preserve">6. die Sächsische Landesärztekammer für Medizinische Fachangestellte,</w:t>
      </w:r>
    </w:p>
    <w:p>
      <w:r>
        <w:t xml:space="preserve">7. die Landeszahnärztekammer Sachsen für Zahnmedizinische Fachangestellte,</w:t>
      </w:r>
    </w:p>
    <w:p>
      <w:r>
        <w:t xml:space="preserve">8. die Sächsische Landesapothekerkammer für Pharmazeutisch-kaufmännische Angestellte,</w:t>
      </w:r>
    </w:p>
    <w:p>
      <w:r>
        <w:t xml:space="preserve">9. die Sächsische Landestierärztekammer für Tiermedizinische Fachangestellte.</w:t>
      </w:r>
    </w:p>
    <w:p>
      <w:r>
        <w:rPr>
          <w:color w:val="555555"/>
          <w:sz w:val="17"/>
        </w:rPr>
        <w:t xml:space="preserve">Zitiervorschlag: § 13 OWiZuVO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https://recht.nulegal.eu/gesetze/OWiZuVO/13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