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OWiZuVO (Sachsen) — Zuständigkeiten der Staatsministerien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Staatsministerium für Wirtschaft, Arbeit und Verkehr ist zuständig für die Verfolgung und Ahndung von Ordnungswidrigkeiten nach</w:t>
      </w:r>
    </w:p>
    <w:p>
      <w:r>
        <w:t xml:space="preserve">1. dem Börsengesetz ( BörsG ) vom 16. Juli 2007 (BGBl. I S. 1330, 1351), zuletzt geändert durch Artikel 10 des Gesetzes vom 4. Juli 2013 (BGBl. I S. 1981, 2151), in der jeweils geltenden Fassung, und</w:t>
      </w:r>
    </w:p>
    <w:p>
      <w:r>
        <w:t xml:space="preserve">2. dem Gesetz über Unternehmensbeteiligungsgesellschaften ( UBGG ) in der Fassung der Bekanntmachung vom 9. September 1998 (BGBl. I S. 2765), zuletzt geändert durch Artikel 6 Abs. 5 des Gesetzes vom 28. August 2013 (BGBl. I S. 3395, 3453), in der jeweils geltenden Fassung.</w:t>
      </w:r>
    </w:p>
    <w:p>
      <w:r>
        <w:t xml:space="preserve">(2) Das Staatsministerium für Umwelt und Landwirtschaft ist zuständig für die Verfolgung und Ahndung von Ordnungswidrigkeiten nach</w:t>
      </w:r>
    </w:p>
    <w:p>
      <w:r>
        <w:t xml:space="preserve">1. dem Atomgesetz und den aufgrund dieses Gesetzes erlassenen Rechtsverordnungen, mit Ausnahme der Röntgenverordnung, soweit es für den Vollzug der verletzten Vorschrift zuständig ist, und</w:t>
      </w:r>
    </w:p>
    <w:p>
      <w:r>
        <w:t xml:space="preserve">2. dem Chemikaliengesetz und den aufgrund dieses Gesetzes erlassenen Rechtsverordnungen, soweit es für den Vollzug der verletzten Vorschrift zuständig ist.</w:t>
      </w:r>
    </w:p>
    <w:p>
      <w:r>
        <w:t xml:space="preserve">3. dem Energiewirtschaftsgesetz vom 7. Juli 2005 (BGBl. I S. 1970, 3621), das zuletzt durch Artikel 1 des Gesetzes vom 14. Mai 2024 (BGBl. 2024 I Nr. 151) geändert worden ist, soweit es für den Vollzug der verletzten Vorschrift zuständig ist.</w:t>
      </w:r>
    </w:p>
    <w:p>
      <w:r>
        <w:rPr>
          <w:color w:val="555555"/>
          <w:sz w:val="17"/>
        </w:rPr>
        <w:t xml:space="preserve">Zitiervorschlag: § 11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