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OWiZuVO (Sachsen) — Geltungsbereich</w:t>
      </w:r>
    </w:p>
    <w:p>
      <w:r>
        <w:rPr>
          <w:color w:val="555555"/>
          <w:sz w:val="18"/>
        </w:rPr>
        <w:t xml:space="preserve">Ordnungswidrigkeiten-Zuständigkeitsverordnung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sachliche Zuständigkeit der Verwaltungsbehörden für die Verfolgung und Ahndung von Ordnungswidrigkeiten nach Bundesrecht bestimmt sich nach dieser Verordnung, soweit sie nicht durch Bundesrecht oder Landesgesetz geregelt ist.</w:t>
      </w:r>
    </w:p>
    <w:p>
      <w:r>
        <w:rPr>
          <w:color w:val="555555"/>
          <w:sz w:val="17"/>
        </w:rPr>
        <w:t xml:space="preserve">Zitiervorschlag: § 1 OWiZuVO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https://recht.nulegal.eu/gesetze/OWiZuVO/1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