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OWiG§124V</w:t>
      </w:r>
    </w:p>
    <w:p>
      <w:r>
        <w:rPr>
          <w:color w:val="555555"/>
          <w:sz w:val="18"/>
        </w:rPr>
        <w:t xml:space="preserve">Verordnung über die Zuständigkeit für die Verfolgung und Ahndung von Ordnungswidrigkeiten nach § 124 des Gesetzes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vom 4. Januar 1952 (Bundesgesetzbl. I S. 1) in Verbindung mit § 134 des Gesetzes über Ordnungswidrigkeiten auch im Land Berlin.</w:t>
      </w:r>
    </w:p>
    <w:p>
      <w:r>
        <w:rPr>
          <w:color w:val="555555"/>
          <w:sz w:val="17"/>
        </w:rPr>
        <w:t xml:space="preserve">Zitiervorschlag: § 2 OWiG§124V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https://recht.nulegal.eu/gesetze/OWiG%C2%A7124V/2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OWiG§124V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