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OWiG 1968 — Beitreibung der Geldbuße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Geldbuße oder der Teilbetrag einer Geldbuße wird vor Ablauf von zwei Wochen nach Eintritt der Fälligkeit nur beigetrieben, wenn auf Grund bestimmter Tatsachen erkennbar ist, daß sich der Betroffene der Zahlung entziehen will.</w:t>
      </w:r>
    </w:p>
    <w:p>
      <w:r>
        <w:t xml:space="preserve">(2) Ergibt sich, daß dem Betroffenen nach seinen wirtschaftlichen Verhältnissen die Zahlung in absehbarer Zeit nicht möglich ist, so kann die Vollstreckungsbehörde anordnen, daß die Vollstreckung unterbleibt.</w:t>
      </w:r>
    </w:p>
    <w:p>
      <w:r>
        <w:rPr>
          <w:color w:val="555555"/>
          <w:sz w:val="17"/>
        </w:rPr>
        <w:t xml:space="preserve">Zitiervorschlag: § 95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