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91 OWiG 1968 — Vollstreckung der gerichtlichen Bußgeldentscheidung</w:t>
      </w:r>
    </w:p>
    <w:p>
      <w:r>
        <w:rPr>
          <w:color w:val="555555"/>
          <w:sz w:val="18"/>
        </w:rPr>
        <w:t xml:space="preserve">Gesetz über Ordnungswidrigkeiten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Für die Vollstreckung der gerichtlichen Bußgeldentscheidung gelten § 451 Abs. 1 und 2, die §§ 459 und 459g Abs. 1 sowie Abs. 2 in Verbindung mit § 459 der Strafprozeßordnung, im Verfahren gegen Jugendliche und Heranwachsende auch § 82 Abs. 1, § 83 Abs. 2 sowie die §§ 84 und 85 Abs. 5 des Jugendgerichtsgesetzes sinngemäß.</w:t>
      </w:r>
    </w:p>
    <w:p>
      <w:r>
        <w:rPr>
          <w:color w:val="555555"/>
          <w:sz w:val="17"/>
        </w:rPr>
        <w:t xml:space="preserve">Zitiervorschlag: § 91 OWiG 1968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https://recht.nulegal.eu/gesetze/OWiG%201968/91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