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90 OWiG 1968 — Vollstreckung des Bußgeldbescheides</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Der Bußgeldbescheid wird, soweit das Gesetz nichts anderes bestimmt, nach den Vorschriften des Verwaltungs-Vollstreckungsgesetzes vom 27. April 1953 (BGBl. I S. 157) in der jeweils geltenden Fassung vollstreckt, wenn eine Verwaltungsbehörde des Bundes den Bußgeldbescheid erlassen hat, sonst nach den entsprechenden landesrechtlichen Vorschriften.</w:t>
      </w:r>
    </w:p>
    <w:p>
      <w:r>
        <w:t xml:space="preserve">(2) Die Geldbußen fließen, soweit das Gesetz nichts anderes bestimmt, in die Bundeskasse, wenn eine Verwaltungsbehörde des Bundes den Bußgeldbescheid erlassen hat, sonst in die Landeskasse. Satz 1 gilt für Nebenfolgen, die zu einer Geldzahlung verpflichten, entsprechend.</w:t>
      </w:r>
    </w:p>
    <w:p>
      <w:r>
        <w:t xml:space="preserve">(3) Ist die Einziehung eines Gegenstandes oder Unbrauchbarmachung einer Sache angeordnet worden, so wird die Anordnung dadurch vollstreckt, daß die Sache dem Betroffenen oder dem Einziehungsbeteiligten weggenommen wird. Wird die Sache bei diesen Personen nicht vorgefunden, so haben sie auf Antrag der Verwaltungsbehörde bei dem Amtsgericht eine eidesstattliche Versicherung über den Verbleib der Sache abzugeben. § 883 Abs. 2 und 3 der Zivilprozeßordnung gilt entsprechend.</w:t>
      </w:r>
    </w:p>
    <w:p>
      <w:r>
        <w:t xml:space="preserve">(4) Absatz 1 gilt für die Vollstreckung eines von der Verwaltungsbehörde festgesetzten Ordnungsgeldes entsprechend.</w:t>
      </w:r>
    </w:p>
    <w:p>
      <w:r>
        <w:rPr>
          <w:color w:val="555555"/>
          <w:sz w:val="17"/>
        </w:rPr>
        <w:t xml:space="preserve">Zitiervorschlag: § 90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https://recht.nulegal.eu/gesetze/OWiG%201968/90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90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