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84 OWiG 1968 — Wirkung der Rechtskraft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der Bußgeldbescheid rechtskräftig geworden oder hat das Gericht über die Tat als Ordnungswidrigkeit oder als Straftat rechtskräftig entschieden, so kann dieselbe Tat nicht mehr als Ordnungswidrigkeit verfolgt werden.</w:t>
      </w:r>
    </w:p>
    <w:p>
      <w:r>
        <w:t xml:space="preserve">(2) Das rechtskräftige Urteil über die Tat als Ordnungswidrigkeit steht auch ihrer Verfolgung als Straftat entgegen. Dem rechtskräftigen Urteil stehen der Beschluß nach § 72 und der Beschluß des Beschwerdegerichts über die Tat als Ordnungswidrigkeit gleich.</w:t>
      </w:r>
    </w:p>
    <w:p>
      <w:r>
        <w:rPr>
          <w:color w:val="555555"/>
          <w:sz w:val="17"/>
        </w:rPr>
        <w:t xml:space="preserve">Zitiervorschlag: § 84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