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82 OWiG 1968 — Bußgelderkenntnis im Strafverfahren</w:t>
      </w:r>
    </w:p>
    <w:p>
      <w:r>
        <w:rPr>
          <w:color w:val="555555"/>
          <w:sz w:val="18"/>
        </w:rPr>
        <w:t xml:space="preserve">Gesetz über Ordnungswidrigkeiten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Strafverfahren beurteilt das Gericht die in der Anklage bezeichnete Tat zugleich unter dem rechtlichen Gesichtspunkt einer Ordnungswidrigkeit.</w:t>
      </w:r>
    </w:p>
    <w:p>
      <w:r>
        <w:t xml:space="preserve">(2) Läßt das Gericht die Anklage zur Hauptverhandlung nur unter dem rechtlichen Gesichtspunkt einer Ordnungswidrigkeit zu, so sind in dem weiteren Verfahren die besonderen Vorschriften dieses Gesetzes anzuwenden.</w:t>
      </w:r>
    </w:p>
    <w:p>
      <w:r>
        <w:rPr>
          <w:color w:val="555555"/>
          <w:sz w:val="17"/>
        </w:rPr>
        <w:t xml:space="preserve">Zitiervorschlag: § 82 OWiG 1968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https://recht.nulegal.eu/gesetze/OWiG%201968/82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