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OWiG 1968 — Begehen durch Unterlassen</w:t>
      </w:r>
    </w:p>
    <w:p>
      <w:r>
        <w:rPr>
          <w:color w:val="555555"/>
          <w:sz w:val="18"/>
        </w:rPr>
        <w:t xml:space="preserve">Gesetz über Ordnungswidrigkeiten</w:t>
      </w:r>
    </w:p>
    <w:p>
      <w:r>
        <w:rPr>
          <w:color w:val="555555"/>
          <w:sz w:val="18"/>
        </w:rPr>
        <w:t xml:space="preserve">Stand: 10.06.2019 (konsolidierte Textfassung, kein amtliches Inkrafttretensdatum)</w:t>
      </w:r>
    </w:p>
    <w:p>
      <w:r>
        <w:t xml:space="preserve">Wer es unterläßt, einen Erfolg abzuwenden, der zum Tatbestand einer Bußgeldvorschrift gehört, handelt nach dieser Vorschrift nur dann ordnungswidrig, wenn er rechtlich dafür einzustehen hat, daß der Erfolg nicht eintritt, und wenn das Unterlassen der Verwirklichung des gesetzlichen Tatbestandes durch ein Tun entspricht.</w:t>
      </w:r>
    </w:p>
    <w:p>
      <w:r>
        <w:rPr>
          <w:color w:val="555555"/>
          <w:sz w:val="17"/>
        </w:rPr>
        <w:t xml:space="preserve">Zitiervorschlag: § 8 OWiG 1968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https://recht.nulegal.eu/gesetze/OWiG%201968/8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