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OWiG 1968 — Umfang der Beweisaufnahme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bestimmt, unbeschadet der Pflicht, die Wahrheit von Amts wegen zu erforschen, den Umfang der Beweisaufnahme. Dabei berücksichtigt es auch die Bedeutung der Sache.</w:t>
      </w:r>
    </w:p>
    <w:p>
      <w:r>
        <w:t xml:space="preserve">(2) Hält das Gericht den Sachverhalt nach dem bisherigen Ergebnis der Beweisaufnahme für geklärt, so kann es außer in den Fällen des § 244 Abs. 3 der Strafprozeßordnung einen Beweisantrag auch dann ablehnen, wenn</w:t>
      </w:r>
    </w:p>
    <w:p>
      <w:pPr>
        <w:ind w:left="420"/>
      </w:pPr>
      <w:r>
        <w:t xml:space="preserve">1. nach seinem pflichtgemäßen Ermessen die Beweiserhebung zur Erforschung der Wahrheit nicht erforderlich ist oder</w:t>
      </w:r>
    </w:p>
    <w:p>
      <w:pPr>
        <w:ind w:left="420"/>
      </w:pPr>
      <w:r>
        <w:t xml:space="preserve">2. nach seiner freien Würdigung das Beweismittel oder die zu beweisende Tatsache ohne verständigen Grund so spät vorgebracht wird, daß die Beweiserhebung zur Aussetzung der Hauptverhandlung führen würde.</w:t>
      </w:r>
    </w:p>
    <w:p>
      <w:r>
        <w:t xml:space="preserve">(3) Die Begründung für die Ablehnung eines Beweisantrages nach Absatz 2 Nr. 1 kann in dem Gerichtsbeschluß (§ 244 Abs. 6 der Strafprozeßordnung) in der Regel darauf beschränkt werden, daß die Beweiserhebung zur Erforschung der Wahrheit nicht erforderlich ist.</w:t>
      </w:r>
    </w:p>
    <w:p>
      <w:r>
        <w:rPr>
          <w:color w:val="555555"/>
          <w:sz w:val="17"/>
        </w:rPr>
        <w:t xml:space="preserve">Zitiervorschlag: § 77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