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OWiG 1968 — Beteiligung der Verwaltungsbehörde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Gericht gibt der Verwaltungsbehörde Gelegenheit, die Gesichtspunkte vorzubringen, die von ihrem Standpunkt für die Entscheidung von Bedeutung sind. Dies gilt auch, wenn das Gericht erwägt, das Verfahren nach § 47 Abs. 2 einzustellen. Der Termin zur Hauptverhandlung wird der Verwaltungsbehörde mitgeteilt. Ihr Vertreter erhält in der Hauptverhandlung auf Verlangen das Wort.</w:t>
      </w:r>
    </w:p>
    <w:p>
      <w:r>
        <w:t xml:space="preserve">(2) Das Gericht kann davon absehen, die Verwaltungsbehörde nach Absatz 1 zu beteiligen, wenn ihre besondere Sachkunde für die Entscheidung entbehrt werden kann.</w:t>
      </w:r>
    </w:p>
    <w:p>
      <w:r>
        <w:t xml:space="preserve">(3) Erwägt die Staatsanwaltschaft, die Klage zurückzunehmen, so gilt § 63 Abs. 3 entsprechend.</w:t>
      </w:r>
    </w:p>
    <w:p>
      <w:r>
        <w:t xml:space="preserve">(4) Das Urteil und andere das Verfahren abschließende Entscheidungen sind der Verwaltungsbehörde mitzuteilen.</w:t>
      </w:r>
    </w:p>
    <w:p>
      <w:r>
        <w:rPr>
          <w:color w:val="555555"/>
          <w:sz w:val="17"/>
        </w:rPr>
        <w:t xml:space="preserve">Zitiervorschlag: § 76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