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75 OWiG 1968 — Teilnahme der Staatsanwaltschaft an der Hauptverhandlung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Staatsanwaltschaft ist zur Teilnahme an der Hauptverhandlung nicht verpflichtet. Das Gericht macht der Staatsanwaltschaft Mitteilung, wenn es ihre Mitwirkung für angemessen hält.</w:t>
      </w:r>
    </w:p>
    <w:p>
      <w:r>
        <w:t xml:space="preserve">(2) Nimmt die Staatsanwaltschaft an der Hauptverhandlung nicht teil, so bedarf es ihrer Zustimmung zur Einstellung des Verfahrens (§ 47 Abs. 2) und zur Rücknahme des Einspruchs in der Hauptverhandlung nicht.</w:t>
      </w:r>
    </w:p>
    <w:p>
      <w:r>
        <w:rPr>
          <w:color w:val="555555"/>
          <w:sz w:val="17"/>
        </w:rPr>
        <w:t xml:space="preserve">Zitiervorschlag: § 75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https://recht.nulegal.eu/gesetze/OWiG%201968/75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75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