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 OWiG 1968 — Zuständiges Gericht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einem Einspruch gegen den Bußgeldbescheid entscheidet das Amtsgericht, in dessen Bezirk die Verwaltungsbehörde ihren Sitz hat. Der Richter beim Amtsgericht entscheidet allein.</w:t>
      </w:r>
    </w:p>
    <w:p>
      <w:r>
        <w:t xml:space="preserve">(2) Im Verfahren gegen Jugendliche und Heranwachsende ist der Jugendrichter zuständig.</w:t>
      </w:r>
    </w:p>
    <w:p>
      <w:r>
        <w:t xml:space="preserve">(3) Sind in dem Bezirk der Verwaltungsbehörde eines Landes mehrere Amtsgerichtsbezirke oder mehrere Teile solcher Bezirke vorhanden, so kann die Landesregierung durch Rechtsverordnung die Zuständigkeit des Amtsgerichts abweichend von Absatz 1 danach bestimmen, in welchem Bezirk</w:t>
      </w:r>
    </w:p>
    <w:p>
      <w:pPr>
        <w:ind w:left="420"/>
      </w:pPr>
      <w:r>
        <w:t xml:space="preserve">1. die Ordnungswidrigkeit oder eine der Ordnungswidrigkeiten begangen worden ist (Begehungsort) oder</w:t>
      </w:r>
    </w:p>
    <w:p>
      <w:pPr>
        <w:ind w:left="420"/>
      </w:pPr>
      <w:r>
        <w:t xml:space="preserve">2. der Betroffene seinen Wohnsitz hat (Wohnort),</w:t>
      </w:r>
    </w:p>
    <w:p>
      <w:r>
        <w:t xml:space="preserve">soweit es mit Rücksicht auf die große Zahl von Verfahren oder die weite Entfernung zwischen Begehungs- oder Wohnort und dem Sitz des nach Absatz 1 zuständigen Amtsgerichts sachdienlich erscheint, die Verfahren auf mehrere Amtsgerichte aufzuteilen; § 37 Abs. 3 gilt entsprechend. Der Bezirk, von dem die Zuständigkeit des Amtsgerichts nach Satz 1 abhängt, kann die Bezirke mehrerer Amtsgerichte umfassen. Die Landesregierung kann die Ermächtigung auf die Landesjustizverwaltung übertragen.</w:t>
      </w:r>
    </w:p>
    <w:p>
      <w:r>
        <w:rPr>
          <w:color w:val="555555"/>
          <w:sz w:val="17"/>
        </w:rPr>
        <w:t xml:space="preserve">Zitiervorschlag: § 68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https://recht.nulegal.eu/gesetze/OWiG%201968/68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