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OWiG 1968 — Inhalt des Bußgeldbescheides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Bußgeldbescheid enthält</w:t>
      </w:r>
    </w:p>
    <w:p>
      <w:pPr>
        <w:ind w:left="420"/>
      </w:pPr>
      <w:r>
        <w:t xml:space="preserve">1. die Angaben zur Person des Betroffenen und etwaiger Nebenbeteiligter,</w:t>
      </w:r>
    </w:p>
    <w:p>
      <w:pPr>
        <w:ind w:left="420"/>
      </w:pPr>
      <w:r>
        <w:t xml:space="preserve">2. den Namen und die Anschrift des Verteidigers,</w:t>
      </w:r>
    </w:p>
    <w:p>
      <w:pPr>
        <w:ind w:left="420"/>
      </w:pPr>
      <w:r>
        <w:t xml:space="preserve">3. die Bezeichnung der Tat, die dem Betroffenen zur Last gelegt wird, Zeit und Ort ihrer Begehung, die gesetzlichen Merkmale der Ordnungswidrigkeit und die angewendeten Bußgeldvorschriften,</w:t>
      </w:r>
    </w:p>
    <w:p>
      <w:pPr>
        <w:ind w:left="420"/>
      </w:pPr>
      <w:r>
        <w:t xml:space="preserve">4. die Beweismittel,</w:t>
      </w:r>
    </w:p>
    <w:p>
      <w:pPr>
        <w:ind w:left="420"/>
      </w:pPr>
      <w:r>
        <w:t xml:space="preserve">5. die Geldbuße und die Nebenfolgen.</w:t>
      </w:r>
    </w:p>
    <w:p>
      <w:r>
        <w:t xml:space="preserve">(2) Der Bußgeldbescheid enthält ferner</w:t>
      </w:r>
    </w:p>
    <w:p>
      <w:pPr>
        <w:ind w:left="420"/>
      </w:pPr>
      <w:r>
        <w:t xml:space="preserve">1. den Hinweis, daß</w:t>
      </w:r>
    </w:p>
    <w:p>
      <w:pPr>
        <w:ind w:left="780"/>
      </w:pPr>
      <w:r>
        <w:t xml:space="preserve">a) der Bußgeldbescheid rechtskräftig und vollstreckbar wird, wenn kein Einspruch nach § 67 eingelegt wird,</w:t>
      </w:r>
    </w:p>
    <w:p>
      <w:pPr>
        <w:ind w:left="780"/>
      </w:pPr>
      <w:r>
        <w:t xml:space="preserve">b) bei einem Einspruch auch eine für den Betroffenen nachteiligere Entscheidung getroffen werden kann,</w:t>
      </w:r>
    </w:p>
    <w:p>
      <w:pPr>
        <w:ind w:left="420"/>
      </w:pPr>
      <w:r>
        <w:t xml:space="preserve">2. die Aufforderung an den Betroffenen, spätestens zwei Wochen nach Rechtskraft oder einer etwa bestimmten späteren Fälligkeit (§ 18)</w:t>
      </w:r>
    </w:p>
    <w:p>
      <w:pPr>
        <w:ind w:left="780"/>
      </w:pPr>
      <w:r>
        <w:t xml:space="preserve">a) die Geldbuße oder die bestimmten Teilbeträge an die zuständige Kasse zu zahlen oder</w:t>
      </w:r>
    </w:p>
    <w:p>
      <w:pPr>
        <w:ind w:left="780"/>
      </w:pPr>
      <w:r>
        <w:t xml:space="preserve">b) im Falle der Zahlungsunfähigkeit der Vollstreckungsbehörde (§ 92) schriftlich oder zur Niederschrift darzutun, warum ihm die fristgemäße Zahlung nach seinen wirtschaftlichen Verhältnissen nicht zuzumuten ist, und</w:t>
      </w:r>
    </w:p>
    <w:p>
      <w:pPr>
        <w:ind w:left="420"/>
      </w:pPr>
      <w:r>
        <w:t xml:space="preserve">3. die Belehrung, daß Erzwingungshaft (§ 96) angeordnet werden kann, wenn der Betroffene seiner Pflicht nach Nummer 2 nicht genügt.</w:t>
      </w:r>
    </w:p>
    <w:p>
      <w:r>
        <w:t xml:space="preserve">(3) Über die Angaben nach Absatz 1 Nr. 3 und 4 hinaus braucht der Bußgeldbescheid nicht begründet zu werden.</w:t>
      </w:r>
    </w:p>
    <w:p>
      <w:r>
        <w:rPr>
          <w:color w:val="555555"/>
          <w:sz w:val="17"/>
        </w:rPr>
        <w:t xml:space="preserve">Zitiervorschlag: § 66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