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OWiG 1968 — Allgemeines</w:t>
      </w:r>
    </w:p>
    <w:p>
      <w:r>
        <w:rPr>
          <w:color w:val="555555"/>
          <w:sz w:val="18"/>
        </w:rPr>
        <w:t xml:space="preserve">Gesetz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Ordnungswidrigkeit wird, soweit dieses Gesetz nichts anderes bestimmt, durch Bußgeldbescheid geahndet.</w:t>
      </w:r>
    </w:p>
    <w:p>
      <w:r>
        <w:rPr>
          <w:color w:val="555555"/>
          <w:sz w:val="17"/>
        </w:rPr>
        <w:t xml:space="preserve">Zitiervorschlag: § 65 OWiG 1968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https://recht.nulegal.eu/gesetze/OWiG%201968/65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