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OWiG 1968 — Rechtsbehelf gegen Maßnahmen der Verwaltungsbehörde</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Gegen Anordnungen, Verfügungen und sonstige Maßnahmen, die von der Verwaltungsbehörde im Bußgeldverfahren getroffen werden, können der Betroffene und andere Personen, gegen die sich die Maßnahme richtet, gerichtliche Entscheidung beantragen. Dies gilt nicht für Maßnahmen, die nur zur Vorbereitung der Entscheidung, ob ein Bußgeldbescheid erlassen oder das Verfahren eingestellt wird, getroffen werden und keine selbständige Bedeutung haben.</w:t>
      </w:r>
    </w:p>
    <w:p>
      <w:r>
        <w:t xml:space="preserve">(2) Über den Antrag entscheidet das nach § 68 zuständige Gericht. Die §§ 297 bis 300, 302, 306 bis 309 und 311a der Strafprozeßordnung sowie die Vorschriften der Strafprozeßordnung über die Auferlegung der Kosten des Beschwerdeverfahrens gelten sinngemäß. Die Entscheidung des Gerichts ist nicht anfechtbar, soweit das Gesetz nichts anderes bestimmt.</w:t>
      </w:r>
    </w:p>
    <w:p>
      <w:r>
        <w:rPr>
          <w:color w:val="555555"/>
          <w:sz w:val="17"/>
        </w:rPr>
        <w:t xml:space="preserve">Zitiervorschlag: § 62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