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OWiG 1968 — Wiedereinsetzung in den vorigen Stand</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Für den befristeten Rechtsbehelf gegen den Bescheid der Verwaltungsbehörde gelten die §§ 44, 45, 46 Abs. 2 und 3 und § 47 der Strafprozeßordnung über die Wiedereinsetzung in den vorigen Stand entsprechend, soweit Absatz 2 nichts anderes bestimmt.</w:t>
      </w:r>
    </w:p>
    <w:p>
      <w:r>
        <w:t xml:space="preserve">(2) Über die Gewährung der Wiedereinsetzung in den vorigen Stand und den Aufschub der Vollstreckung entscheidet die Verwaltungsbehörde. Ist das Gericht, das bei rechtzeitigem Rechtsbehelf zur Entscheidung in der Sache selbst zuständig gewesen wäre, mit dem Rechtsbehelf befaßt, so entscheidet es auch über die Gewährung der Wiedereinsetzung in den vorigen Stand und den Aufschub der Vollstreckung. Verwirft die Verwaltungsbehörde den Antrag auf Wiedereinsetzung in den vorigen Stand, so ist gegen den Bescheid innerhalb von zwei Wochen nach Zustellung der Antrag auf gerichtliche Entscheidung nach § 62 zulässig.</w:t>
      </w:r>
    </w:p>
    <w:p>
      <w:r>
        <w:rPr>
          <w:color w:val="555555"/>
          <w:sz w:val="17"/>
        </w:rPr>
        <w:t xml:space="preserve">Zitiervorschlag: § 52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