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OWiG 1968 — Abgabe an die Verwaltungsbehörde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Stellt die Staatsanwaltschaft in den Fällen des § 40 das Verfahren nur wegen der Straftat ein oder übernimmt sie in den Fällen des § 42 die Verfolgung nicht, sind aber Anhaltspunkte dafür vorhanden, daß die Tat als Ordnungswidrigkeit verfolgt werden kann, so gibt sie die Sache an die Verwaltungsbehörde ab.</w:t>
      </w:r>
    </w:p>
    <w:p>
      <w:r>
        <w:t xml:space="preserve">(2) Hat die Staatsanwaltschaft die Verfolgung übernommen, so kann sie die Sache an die Verwaltungsbehörde abgeben, solange das Verfahren noch nicht bei Gericht anhängig ist; sie hat die Sache abzugeben, wenn sie das Verfahren nur wegen der zusammenhängenden Straftat einstellt.</w:t>
      </w:r>
    </w:p>
    <w:p>
      <w:r>
        <w:rPr>
          <w:color w:val="555555"/>
          <w:sz w:val="17"/>
        </w:rPr>
        <w:t xml:space="preserve">Zitiervorschlag: § 43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