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41 OWiG 1968 — Abgabe an die Staatsanwaltschaft</w:t>
      </w:r>
    </w:p>
    <w:p>
      <w:r>
        <w:rPr>
          <w:color w:val="555555"/>
          <w:sz w:val="18"/>
        </w:rPr>
        <w:t xml:space="preserve">Gesetz über Ordnungswidrigkeiten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Verwaltungsbehörde gibt die Sache an die Staatsanwaltschaft ab, wenn Anhaltspunkte dafür vorhanden sind, daß die Tat eine Straftat ist.</w:t>
      </w:r>
    </w:p>
    <w:p>
      <w:r>
        <w:t xml:space="preserve">(2) Sieht die Staatsanwaltschaft davon ab, ein Strafverfahren einzuleiten, so gibt sie die Sache an die Verwaltungsbehörde zurück.</w:t>
      </w:r>
    </w:p>
    <w:p>
      <w:r>
        <w:rPr>
          <w:color w:val="555555"/>
          <w:sz w:val="17"/>
        </w:rPr>
        <w:t xml:space="preserve">Zitiervorschlag: § 41 OWiG 1968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https://recht.nulegal.eu/gesetze/OWiG%201968/41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