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OWiG 1968 — Sachliche Zuständigkeit der Verwaltungsbehörde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Sachlich zuständig ist</w:t>
      </w:r>
    </w:p>
    <w:p>
      <w:pPr>
        <w:ind w:left="420"/>
      </w:pPr>
      <w:r>
        <w:t xml:space="preserve">1. die Verwaltungsbehörde, die durch Gesetz bestimmt wird,</w:t>
      </w:r>
    </w:p>
    <w:p>
      <w:pPr>
        <w:ind w:left="420"/>
      </w:pPr>
      <w:r>
        <w:t xml:space="preserve">2. mangels einer solchen Bestimmung</w:t>
      </w:r>
    </w:p>
    <w:p>
      <w:pPr>
        <w:ind w:left="780"/>
      </w:pPr>
      <w:r>
        <w:t xml:space="preserve">a) die fachlich zuständige oberste Landesbehörde oder</w:t>
      </w:r>
    </w:p>
    <w:p>
      <w:pPr>
        <w:ind w:left="780"/>
      </w:pPr>
      <w:r>
        <w:t xml:space="preserve">b) das fachlich zuständige Bundesministerium, soweit das Gesetz von Bundesbehörden ausgeführt wird.</w:t>
      </w:r>
    </w:p>
    <w:p>
      <w:r>
        <w:t xml:space="preserve">(2) Die Landesregierung kann die Zuständigkeit nach Absatz 1 Nr. 2 Buchstabe a durch Rechtsverordnung auf eine andere Behörde oder sonstige Stelle übertragen. Die Landesregierung kann die Ermächtigung auf die oberste Landesbehörde übertragen.</w:t>
      </w:r>
    </w:p>
    <w:p>
      <w:r>
        <w:t xml:space="preserve">(3) Das nach Absatz 1 Nr. 2 Buchstabe b zuständige Bundesministerium kann seine Zuständigkeit durch Rechtsverordnung, die nicht der Zustimmung des Bundesrates bedarf, auf eine andere Behörde oder sonstige Stelle übertragen.</w:t>
      </w:r>
    </w:p>
    <w:p>
      <w:r>
        <w:rPr>
          <w:color w:val="555555"/>
          <w:sz w:val="17"/>
        </w:rPr>
        <w:t xml:space="preserve">Zitiervorschlag: § 36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https://recht.nulegal.eu/gesetze/OWiG%201968/36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