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OWiG 1968 — Verfolgungsverjährung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Verjährung werden die Verfolgung von Ordnungswidrigkeiten und die Anordnung von Nebenfolgen ausgeschlossen. § 27 Abs. 2 Satz 1 Nr. 1 bleibt unberührt.</w:t>
      </w:r>
    </w:p>
    <w:p>
      <w:r>
        <w:t xml:space="preserve">(2) Die Verfolgung von Ordnungswidrigkeiten verjährt, wenn das Gesetz nichts anderes bestimmt,</w:t>
      </w:r>
    </w:p>
    <w:p>
      <w:pPr>
        <w:ind w:left="420"/>
      </w:pPr>
      <w:r>
        <w:t xml:space="preserve">1. in drei Jahren bei Ordnungswidrigkeiten, die mit Geldbuße im Höchstmaß von mehr als fünfzehntausend Euro bedroht sind,</w:t>
      </w:r>
    </w:p>
    <w:p>
      <w:pPr>
        <w:ind w:left="420"/>
      </w:pPr>
      <w:r>
        <w:t xml:space="preserve">2. in zwei Jahren bei Ordnungswidrigkeiten, die mit Geldbuße im Höchstmaß von mehr als zweitausendfünfhundert bis zu fünfzehntausend Euro bedroht sind,</w:t>
      </w:r>
    </w:p>
    <w:p>
      <w:pPr>
        <w:ind w:left="420"/>
      </w:pPr>
      <w:r>
        <w:t xml:space="preserve">3. in einem Jahr bei Ordnungswidrigkeiten, die mit Geldbuße im Höchstmaß von mehr als eintausend bis zu zweitausendfünfhundert Euro bedroht sind,</w:t>
      </w:r>
    </w:p>
    <w:p>
      <w:pPr>
        <w:ind w:left="420"/>
      </w:pPr>
      <w:r>
        <w:t xml:space="preserve">4. in sechs Monaten bei den übrigen Ordnungswidrigkeiten.</w:t>
      </w:r>
    </w:p>
    <w:p>
      <w:r>
        <w:t xml:space="preserve">(3) Die Verjährung beginnt, sobald die Handlung beendet ist. Tritt ein zum Tatbestand gehörender Erfolg erst später ein, so beginnt die Verjährung mit diesem Zeitpunkt.</w:t>
      </w:r>
    </w:p>
    <w:p>
      <w:r>
        <w:rPr>
          <w:color w:val="555555"/>
          <w:sz w:val="17"/>
        </w:rPr>
        <w:t xml:space="preserve">Zitiervorschlag: § 31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