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OWiG 1968 — Zusammentreffen von Straftat und Ordnungswidrigkeit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Handlung gleichzeitig Straftat und Ordnungswidrigkeit, so wird nur das Strafgesetz angewendet. Auf die in dem anderen Gesetz angedrohten Nebenfolgen kann erkannt werden.</w:t>
      </w:r>
    </w:p>
    <w:p>
      <w:r>
        <w:t xml:space="preserve">(2) Im Falle des Absatzes 1 kann die Handlung jedoch als Ordnungswidrigkeit geahndet werden, wenn eine Strafe nicht verhängt wird.</w:t>
      </w:r>
    </w:p>
    <w:p>
      <w:r>
        <w:rPr>
          <w:color w:val="555555"/>
          <w:sz w:val="17"/>
        </w:rPr>
        <w:t xml:space="preserve">Zitiervorschlag: § 21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