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OWiG 1968 — Tateinheit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Verletzt dieselbe Handlung mehrere Gesetze, nach denen sie als Ordnungswidrigkeit geahndet werden kann, oder ein solches Gesetz mehrmals, so wird nur eine einzige Geldbuße festgesetzt.</w:t>
      </w:r>
    </w:p>
    <w:p>
      <w:r>
        <w:t xml:space="preserve">(2) Sind mehrere Gesetze verletzt, so wird die Geldbuße nach dem Gesetz bestimmt, das die höchste Geldbuße androht. Auf die in dem anderen Gesetz angedrohten Nebenfolgen kann erkannt werden.</w:t>
      </w:r>
    </w:p>
    <w:p>
      <w:r>
        <w:rPr>
          <w:color w:val="555555"/>
          <w:sz w:val="17"/>
        </w:rPr>
        <w:t xml:space="preserve">Zitiervorschlag: § 19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